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/>
          <w:b/>
        </w:rPr>
      </w:pPr>
    </w:p>
    <w:p>
      <w:pPr>
        <w:widowControl w:val="off"/>
        <w:jc w:val="center"/>
        <w:rPr>
          <w:b/>
          <w:sz w:val="24"/>
        </w:rPr>
      </w:pPr>
      <w:r>
        <w:rPr>
          <w:b/>
          <w:sz w:val="24"/>
        </w:rPr>
        <w:t xml:space="preserve">Реквизиты для перечисления платежей в федеральный бюджет</w:t>
      </w:r>
      <w:r>
        <w:rPr>
          <w:b/>
          <w:sz w:val="24"/>
        </w:rPr>
        <w:t xml:space="preserve">, за предоставление </w:t>
      </w:r>
      <w:r>
        <w:rPr>
          <w:b/>
          <w:sz w:val="24"/>
        </w:rPr>
        <w:t xml:space="preserve">информации из реестра федерального имущества через МФЦ</w:t>
      </w:r>
    </w:p>
    <w:p>
      <w:pPr>
        <w:rPr>
          <w:sz w:val="24"/>
        </w:rPr>
      </w:pPr>
    </w:p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</w:rPr>
        <w:tab/>
      </w:r>
    </w:p>
    <w:tbl>
      <w:tblPr>
        <w:tblStyle w:val="Style_1"/>
        <w:tblW w:w="0" w:type="auto"/>
        <w:tblInd w:w="28" w:type="dxa"/>
        <w:tblLayout w:type="fixed"/>
        <w:tblCellMar>
          <w:left w:w="28" w:type="dxa"/>
          <w:right w:w="28" w:type="dxa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val="210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color="000000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Индекс документа:</w:t>
            </w:r>
          </w:p>
        </w:tc>
        <w:tc>
          <w:tcPr>
            <w:tcW w:w="1843" w:type="dxa"/>
            <w:gridSpan w:val="10"/>
            <w:tcBorders>
              <w:top w:val="single" w:color="000000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color="000000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8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Style_3"/>
            </w:pPr>
            <w:r>
              <w:t xml:space="preserve">ИЗВЕЩЕНИЕ</w:t>
            </w:r>
          </w:p>
        </w:tc>
        <w:tc>
          <w:tcPr>
            <w:tcW w:w="3261" w:type="dxa"/>
            <w:gridSpan w:val="13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УФК по Сахалинской области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(</w:t>
            </w:r>
            <w:r>
              <w:rPr>
                <w:rFonts w:ascii="Arial" w:hAnsi="Arial"/>
                <w:sz w:val="16"/>
              </w:rPr>
              <w:t xml:space="preserve">ТУ Росимущества в Сахалинской</w:t>
            </w:r>
            <w:r>
              <w:rPr>
                <w:rFonts w:ascii="Arial" w:hAnsi="Arial"/>
                <w:sz w:val="16"/>
              </w:rPr>
              <w:t xml:space="preserve"> области</w:t>
            </w:r>
            <w:r>
              <w:rPr>
                <w:rFonts w:ascii="Arial" w:hAnsi="Arial"/>
                <w:sz w:val="16"/>
              </w:rPr>
              <w:t xml:space="preserve">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Налоговый орган*: ИНН</w:t>
            </w:r>
          </w:p>
        </w:tc>
        <w:tc>
          <w:tcPr>
            <w:tcW w:w="6001" w:type="dxa"/>
            <w:gridSpan w:val="16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6501251609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03100643000000016100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/>
                <w:sz w:val="17"/>
              </w:rPr>
              <w:t xml:space="preserve"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40102810845370000053</w:t>
            </w:r>
            <w:r>
              <w:rPr>
                <w:rFonts w:ascii="Arial" w:hAnsi="Arial"/>
                <w:sz w:val="17"/>
              </w:rPr>
              <w:t xml:space="preserve">)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банка:</w:t>
            </w:r>
          </w:p>
        </w:tc>
        <w:tc>
          <w:tcPr>
            <w:tcW w:w="6209" w:type="dxa"/>
            <w:gridSpan w:val="18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ОКЦ № 5 Дальневосточного ГУ Банка России//УФК по Сахалинской области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8"/>
              </w:rPr>
            </w:pPr>
          </w:p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БИК:</w:t>
            </w:r>
          </w:p>
        </w:tc>
        <w:tc>
          <w:tcPr>
            <w:tcW w:w="1531" w:type="dxa"/>
            <w:gridSpan w:val="9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016401800</w:t>
            </w:r>
          </w:p>
        </w:tc>
        <w:tc>
          <w:tcPr>
            <w:tcW w:w="2977" w:type="dxa"/>
            <w:gridSpan w:val="9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w="3024" w:type="dxa"/>
            <w:gridSpan w:val="7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650101001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платежа:</w:t>
            </w:r>
          </w:p>
        </w:tc>
        <w:tc>
          <w:tcPr>
            <w:tcW w:w="5982" w:type="dxa"/>
            <w:gridSpan w:val="16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КБК:</w:t>
            </w:r>
          </w:p>
        </w:tc>
        <w:tc>
          <w:tcPr>
            <w:tcW w:w="3714" w:type="dxa"/>
            <w:gridSpan w:val="1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167</w:t>
            </w:r>
            <w:r>
              <w:rPr>
                <w:rFonts w:ascii="Arial" w:hAnsi="Arial"/>
                <w:sz w:val="17"/>
              </w:rPr>
              <w:t xml:space="preserve">11301991018000130</w:t>
            </w:r>
          </w:p>
        </w:tc>
        <w:tc>
          <w:tcPr>
            <w:tcW w:w="1191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Код ОКТМО:</w:t>
            </w:r>
          </w:p>
        </w:tc>
        <w:tc>
          <w:tcPr>
            <w:tcW w:w="2296" w:type="dxa"/>
            <w:gridSpan w:val="4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color w:val="000000"/>
                <w:sz w:val="17"/>
              </w:rPr>
            </w:pPr>
            <w:r>
              <w:rPr>
                <w:rFonts w:ascii="Arial" w:hAnsi="Arial"/>
                <w:color w:val="000000"/>
                <w:sz w:val="17"/>
              </w:rPr>
              <w:t xml:space="preserve">64701000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Плательщик (Ф.И.О.):</w:t>
            </w:r>
          </w:p>
        </w:tc>
        <w:tc>
          <w:tcPr>
            <w:tcW w:w="4933" w:type="dxa"/>
            <w:gridSpan w:val="1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Адрес плательщика:</w:t>
            </w:r>
          </w:p>
        </w:tc>
        <w:tc>
          <w:tcPr>
            <w:tcW w:w="5160" w:type="dxa"/>
            <w:gridSpan w:val="17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w="1182" w:type="dxa"/>
            <w:gridSpan w:val="3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3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плательщика:</w:t>
            </w:r>
          </w:p>
        </w:tc>
        <w:tc>
          <w:tcPr>
            <w:tcW w:w="1843" w:type="dxa"/>
            <w:gridSpan w:val="10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3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419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по сроку</w:t>
            </w:r>
          </w:p>
        </w:tc>
        <w:tc>
          <w:tcPr>
            <w:tcW w:w="130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налога (сбора)</w:t>
            </w:r>
          </w:p>
        </w:tc>
        <w:tc>
          <w:tcPr>
            <w:tcW w:w="14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Пеня</w:t>
            </w:r>
          </w:p>
        </w:tc>
        <w:tc>
          <w:tcPr>
            <w:tcW w:w="141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Штраф</w:t>
            </w:r>
          </w:p>
        </w:tc>
        <w:tc>
          <w:tcPr>
            <w:tcW w:w="248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32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</w:t>
            </w:r>
            <w:r>
              <w:rPr>
                <w:rFonts w:ascii="Arial" w:hAnsi="Arial"/>
                <w:sz w:val="16"/>
              </w:rPr>
              <w:t xml:space="preserve">00 руб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КАССИР</w:t>
            </w:r>
          </w:p>
        </w:tc>
        <w:tc>
          <w:tcPr>
            <w:tcW w:w="7986" w:type="dxa"/>
            <w:gridSpan w:val="26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ind w:left="57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 xml:space="preserve">(подпись):</w:t>
            </w:r>
          </w:p>
        </w:tc>
        <w:tc>
          <w:tcPr>
            <w:tcW w:w="3166" w:type="dxa"/>
            <w:gridSpan w:val="8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 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10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color="000000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Индекс документа:</w:t>
            </w:r>
          </w:p>
        </w:tc>
        <w:tc>
          <w:tcPr>
            <w:tcW w:w="1843" w:type="dxa"/>
            <w:gridSpan w:val="10"/>
            <w:tcBorders>
              <w:top w:val="single" w:color="000000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color="000000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8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Style_3"/>
            </w:pPr>
          </w:p>
        </w:tc>
        <w:tc>
          <w:tcPr>
            <w:tcW w:w="3261" w:type="dxa"/>
            <w:gridSpan w:val="13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УФК по Сахалинской области </w:t>
            </w:r>
            <w:r>
              <w:rPr>
                <w:rFonts w:ascii="Arial" w:hAnsi="Arial"/>
                <w:sz w:val="16"/>
              </w:rPr>
              <w:t xml:space="preserve">(ТУ Росимущества в Сахалинскйо области)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Налоговый орган*: ИНН</w:t>
            </w:r>
          </w:p>
        </w:tc>
        <w:tc>
          <w:tcPr>
            <w:tcW w:w="6001" w:type="dxa"/>
            <w:gridSpan w:val="16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6501251609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 xml:space="preserve">03100643000000016100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/>
                <w:sz w:val="17"/>
              </w:rPr>
              <w:t xml:space="preserve"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40102810845370000053</w:t>
            </w:r>
            <w:r>
              <w:rPr>
                <w:rFonts w:ascii="Arial" w:hAnsi="Arial"/>
                <w:sz w:val="17"/>
              </w:rPr>
              <w:t xml:space="preserve"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банка:</w:t>
            </w:r>
          </w:p>
        </w:tc>
        <w:tc>
          <w:tcPr>
            <w:tcW w:w="6209" w:type="dxa"/>
            <w:gridSpan w:val="18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7"/>
              </w:rPr>
              <w:t xml:space="preserve">ОКЦ № 5 Дальневосточного ГУ Банка России//УФК по Сахалинской области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0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БИК:</w:t>
            </w:r>
          </w:p>
        </w:tc>
        <w:tc>
          <w:tcPr>
            <w:tcW w:w="1531" w:type="dxa"/>
            <w:gridSpan w:val="9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016401800</w:t>
            </w:r>
          </w:p>
        </w:tc>
        <w:tc>
          <w:tcPr>
            <w:tcW w:w="2977" w:type="dxa"/>
            <w:gridSpan w:val="9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w="3024" w:type="dxa"/>
            <w:gridSpan w:val="7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650101001  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платежа:</w:t>
            </w:r>
          </w:p>
        </w:tc>
        <w:tc>
          <w:tcPr>
            <w:tcW w:w="5982" w:type="dxa"/>
            <w:gridSpan w:val="16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КБК:</w:t>
            </w:r>
          </w:p>
        </w:tc>
        <w:tc>
          <w:tcPr>
            <w:tcW w:w="3714" w:type="dxa"/>
            <w:gridSpan w:val="1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167</w:t>
            </w:r>
            <w:r>
              <w:rPr>
                <w:rFonts w:ascii="Arial" w:hAnsi="Arial"/>
                <w:sz w:val="17"/>
              </w:rPr>
              <w:t xml:space="preserve">11301991018000130</w:t>
            </w:r>
          </w:p>
        </w:tc>
        <w:tc>
          <w:tcPr>
            <w:tcW w:w="1191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Код ОКТМО:</w:t>
            </w:r>
          </w:p>
        </w:tc>
        <w:tc>
          <w:tcPr>
            <w:tcW w:w="2296" w:type="dxa"/>
            <w:gridSpan w:val="4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color w:val="000000"/>
                <w:sz w:val="17"/>
              </w:rPr>
            </w:pPr>
            <w:r>
              <w:rPr>
                <w:rFonts w:ascii="Arial" w:hAnsi="Arial"/>
                <w:color w:val="000000"/>
                <w:sz w:val="17"/>
              </w:rPr>
              <w:t xml:space="preserve">64701000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Плательщик (Ф.И.О.):</w:t>
            </w:r>
          </w:p>
        </w:tc>
        <w:tc>
          <w:tcPr>
            <w:tcW w:w="4933" w:type="dxa"/>
            <w:gridSpan w:val="1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Адрес плательщика:</w:t>
            </w:r>
          </w:p>
        </w:tc>
        <w:tc>
          <w:tcPr>
            <w:tcW w:w="5160" w:type="dxa"/>
            <w:gridSpan w:val="17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</w:tc>
        <w:tc>
          <w:tcPr>
            <w:tcW w:w="1182" w:type="dxa"/>
            <w:gridSpan w:val="3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3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плательщика:</w:t>
            </w:r>
          </w:p>
        </w:tc>
        <w:tc>
          <w:tcPr>
            <w:tcW w:w="1843" w:type="dxa"/>
            <w:gridSpan w:val="10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vMerge w:val="restart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pStyle w:val="Style_3"/>
              <w:widowControl w:val="off"/>
              <w:spacing w:before="120"/>
            </w:pPr>
            <w:r>
              <w:t xml:space="preserve">КВИТАНЦИЯ</w:t>
            </w:r>
          </w:p>
        </w:tc>
        <w:tc>
          <w:tcPr>
            <w:tcW w:w="1304" w:type="dxa"/>
            <w:gridSpan w:val="3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419"/>
        </w:trPr>
        <w:tc>
          <w:tcPr>
            <w:tcW w:w="2552" w:type="dxa"/>
            <w:vMerge w:val="continue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/>
        </w:tc>
        <w:tc>
          <w:tcPr>
            <w:tcW w:w="13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по сроку</w:t>
            </w:r>
          </w:p>
        </w:tc>
        <w:tc>
          <w:tcPr>
            <w:tcW w:w="130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налога (сбора)</w:t>
            </w:r>
          </w:p>
        </w:tc>
        <w:tc>
          <w:tcPr>
            <w:tcW w:w="14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Пеня</w:t>
            </w:r>
          </w:p>
        </w:tc>
        <w:tc>
          <w:tcPr>
            <w:tcW w:w="141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Штраф</w:t>
            </w:r>
          </w:p>
        </w:tc>
        <w:tc>
          <w:tcPr>
            <w:tcW w:w="248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32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 xml:space="preserve">4</w:t>
            </w:r>
            <w:r>
              <w:rPr>
                <w:rFonts w:ascii="Arial" w:hAnsi="Arial"/>
                <w:sz w:val="16"/>
              </w:rPr>
              <w:t xml:space="preserve">00 руб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КАССИР</w:t>
            </w:r>
          </w:p>
        </w:tc>
        <w:tc>
          <w:tcPr>
            <w:tcW w:w="7986" w:type="dxa"/>
            <w:gridSpan w:val="26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ind w:left="57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 xml:space="preserve">(подпись):</w:t>
            </w:r>
          </w:p>
        </w:tc>
        <w:tc>
          <w:tcPr>
            <w:tcW w:w="3166" w:type="dxa"/>
            <w:gridSpan w:val="8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</w:tbl>
    <w:p>
      <w:pPr>
        <w:widowControl w:val="off"/>
        <w:tabs>
          <w:tab w:val="left" w:pos="1785" w:leader="none"/>
        </w:tabs>
        <w:rPr>
          <w:sz w:val="24"/>
        </w:rPr>
      </w:pPr>
    </w:p>
    <w:p>
      <w:pPr>
        <w:rPr>
          <w:sz w:val="24"/>
        </w:rPr>
      </w:pPr>
    </w:p>
    <w:p>
      <w:pPr>
        <w:widowControl w:val="off"/>
        <w:spacing w:line="276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Расчётный счет </w:t>
      </w:r>
      <w:r>
        <w:rPr>
          <w:sz w:val="28"/>
        </w:rPr>
        <w:t xml:space="preserve">03100643000000016100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ОКЦ № 5 Дальневосточного ГУ Банка России//УФК по Сахалинской области</w:t>
      </w:r>
      <w:r>
        <w:rPr>
          <w:sz w:val="28"/>
        </w:rPr>
        <w:t xml:space="preserve">,</w:t>
      </w:r>
      <w:r>
        <w:rPr>
          <w:sz w:val="28"/>
        </w:rPr>
        <w:t xml:space="preserve"> </w:t>
      </w:r>
      <w:r>
        <w:rPr>
          <w:sz w:val="28"/>
        </w:rPr>
        <w:t xml:space="preserve">Единый казначейский счет (</w:t>
      </w:r>
      <w:r>
        <w:rPr>
          <w:sz w:val="28"/>
        </w:rPr>
        <w:t xml:space="preserve">ЕКС</w:t>
      </w:r>
      <w:r>
        <w:rPr>
          <w:sz w:val="28"/>
        </w:rPr>
        <w:t xml:space="preserve">)</w:t>
      </w:r>
      <w:r>
        <w:rPr>
          <w:sz w:val="28"/>
        </w:rPr>
        <w:t xml:space="preserve"> 40102810845370000053</w:t>
      </w:r>
      <w:r>
        <w:rPr>
          <w:sz w:val="28"/>
        </w:rPr>
        <w:t xml:space="preserve">,</w:t>
      </w:r>
      <w:r>
        <w:rPr>
          <w:sz w:val="28"/>
        </w:rPr>
        <w:t xml:space="preserve"> ИНН 6501251609, КПП 650101001, УФК по Сахалинской</w:t>
      </w:r>
      <w:r>
        <w:rPr>
          <w:sz w:val="28"/>
        </w:rPr>
        <w:t xml:space="preserve"> области (ТУ Росимущества в Сахалинской области), КБК 16711301991018000130, ОКТМО </w:t>
      </w:r>
      <w:r>
        <w:rPr>
          <w:color w:val="000000"/>
          <w:sz w:val="28"/>
        </w:rPr>
        <w:t xml:space="preserve">64701000</w:t>
      </w:r>
      <w:r>
        <w:rPr>
          <w:sz w:val="28"/>
        </w:rPr>
        <w:t xml:space="preserve">, БИК </w:t>
      </w:r>
      <w:r>
        <w:rPr>
          <w:sz w:val="28"/>
        </w:rPr>
        <w:t xml:space="preserve">016401800</w:t>
      </w:r>
      <w:r>
        <w:rPr>
          <w:sz w:val="28"/>
        </w:rPr>
        <w:t xml:space="preserve">. В назначении платежа указать «За предоставлении выписки из Р</w:t>
      </w:r>
      <w:r>
        <w:rPr>
          <w:sz w:val="28"/>
        </w:rPr>
        <w:t xml:space="preserve"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 xml:space="preserve">».</w:t>
      </w:r>
    </w:p>
    <w:p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 xml:space="preserve">дата заявления/запроса</w:t>
      </w:r>
    </w:p>
    <w:sectPr>
      <w:pgSz w:w="11906" w:h="16838" w:orient="portrait"/>
      <w:pgMar w:top="680" w:right="737" w:bottom="680" w:left="85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XO Thames">
    <w:panose1 w:val="020206030504050203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off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4" w:default="1">
    <w:name w:val="Normal"/>
    <w:link w:val="Style_4_ch"/>
    <w:uiPriority w:val="0"/>
    <w:qFormat/>
  </w:style>
  <w:style w:type="character" w:styleId="Style_4_ch" w:default="1">
    <w:name w:val="Normal"/>
    <w:link w:val="Style_4"/>
  </w:style>
  <w:style w:type="paragraph" w:styleId="Style_5">
    <w:name w:val="toc 2"/>
    <w:next w:val="Style_4"/>
    <w:link w:val="Style_5_ch"/>
    <w:uiPriority w:val="39"/>
    <w:pPr>
      <w:widowControl w:val="off"/>
      <w:ind w:left="200" w:firstLine="0"/>
      <w:jc w:val="left"/>
    </w:pPr>
    <w:rPr>
      <w:rFonts w:ascii="XO Thames" w:hAnsi="XO Thames"/>
      <w:sz w:val="28"/>
    </w:rPr>
  </w:style>
  <w:style w:type="character" w:styleId="Style_5_ch">
    <w:name w:val="toc 2"/>
    <w:link w:val="Style_5"/>
    <w:rPr>
      <w:rFonts w:ascii="XO Thames" w:hAnsi="XO Thames"/>
      <w:sz w:val="28"/>
    </w:rPr>
  </w:style>
  <w:style w:type="paragraph" w:styleId="Style_6">
    <w:name w:val="toc 4"/>
    <w:next w:val="Style_4"/>
    <w:link w:val="Style_6_ch"/>
    <w:uiPriority w:val="39"/>
    <w:pPr>
      <w:widowControl w:val="off"/>
      <w:ind w:left="600" w:firstLine="0"/>
      <w:jc w:val="left"/>
    </w:pPr>
    <w:rPr>
      <w:rFonts w:ascii="XO Thames" w:hAnsi="XO Thames"/>
      <w:sz w:val="28"/>
    </w:rPr>
  </w:style>
  <w:style w:type="character" w:styleId="Style_6_ch">
    <w:name w:val="toc 4"/>
    <w:link w:val="Style_6"/>
    <w:rPr>
      <w:rFonts w:ascii="XO Thames" w:hAnsi="XO Thames"/>
      <w:sz w:val="28"/>
    </w:rPr>
  </w:style>
  <w:style w:type="paragraph" w:styleId="Style_7">
    <w:name w:val="toc 6"/>
    <w:next w:val="Style_4"/>
    <w:link w:val="Style_7_ch"/>
    <w:uiPriority w:val="39"/>
    <w:pPr>
      <w:widowControl w:val="off"/>
      <w:ind w:left="1000" w:firstLine="0"/>
      <w:jc w:val="left"/>
    </w:pPr>
    <w:rPr>
      <w:rFonts w:ascii="XO Thames" w:hAnsi="XO Thames"/>
      <w:sz w:val="28"/>
    </w:rPr>
  </w:style>
  <w:style w:type="character" w:styleId="Style_7_ch">
    <w:name w:val="toc 6"/>
    <w:link w:val="Style_7"/>
    <w:rPr>
      <w:rFonts w:ascii="XO Thames" w:hAnsi="XO Thames"/>
      <w:sz w:val="28"/>
    </w:rPr>
  </w:style>
  <w:style w:type="paragraph" w:styleId="Style_8">
    <w:name w:val="toc 7"/>
    <w:next w:val="Style_4"/>
    <w:link w:val="Style_8_ch"/>
    <w:uiPriority w:val="39"/>
    <w:pPr>
      <w:widowControl w:val="off"/>
      <w:ind w:left="1200" w:firstLine="0"/>
      <w:jc w:val="left"/>
    </w:pPr>
    <w:rPr>
      <w:rFonts w:ascii="XO Thames" w:hAnsi="XO Thames"/>
      <w:sz w:val="28"/>
    </w:rPr>
  </w:style>
  <w:style w:type="character" w:styleId="Style_8_ch">
    <w:name w:val="toc 7"/>
    <w:link w:val="Style_8"/>
    <w:rPr>
      <w:rFonts w:ascii="XO Thames" w:hAnsi="XO Thames"/>
      <w:sz w:val="28"/>
    </w:rPr>
  </w:style>
  <w:style w:type="paragraph" w:styleId="Style_9">
    <w:name w:val="Endnote"/>
    <w:link w:val="Style_9_ch"/>
    <w:pPr>
      <w:widowControl w:val="off"/>
      <w:ind w:left="0" w:firstLine="851"/>
      <w:jc w:val="both"/>
    </w:pPr>
    <w:rPr>
      <w:rFonts w:ascii="XO Thames" w:hAnsi="XO Thames"/>
      <w:sz w:val="22"/>
    </w:rPr>
  </w:style>
  <w:style w:type="character" w:styleId="Style_9_ch">
    <w:name w:val="Endnote"/>
    <w:link w:val="Style_9"/>
    <w:rPr>
      <w:rFonts w:ascii="XO Thames" w:hAnsi="XO Thames"/>
      <w:sz w:val="22"/>
    </w:rPr>
  </w:style>
  <w:style w:type="paragraph" w:styleId="Style_10">
    <w:name w:val="heading 3"/>
    <w:next w:val="Style_4"/>
    <w:link w:val="Style_10_ch"/>
    <w:uiPriority w:val="9"/>
    <w:qFormat/>
    <w:pPr>
      <w:widowControl w:val="off"/>
      <w:spacing w:before="120" w:after="120"/>
      <w:jc w:val="both"/>
      <w:outlineLvl w:val="2"/>
    </w:pPr>
    <w:rPr>
      <w:rFonts w:ascii="XO Thames" w:hAnsi="XO Thames"/>
      <w:b/>
      <w:sz w:val="26"/>
    </w:rPr>
  </w:style>
  <w:style w:type="character" w:styleId="Style_10_ch">
    <w:name w:val="heading 3"/>
    <w:link w:val="Style_10"/>
    <w:rPr>
      <w:rFonts w:ascii="XO Thames" w:hAnsi="XO Thames"/>
      <w:b/>
      <w:sz w:val="26"/>
    </w:rPr>
  </w:style>
  <w:style w:type="paragraph" w:styleId="Style_11">
    <w:name w:val="Normal_0"/>
    <w:link w:val="Style_11_ch"/>
    <w:pPr>
      <w:widowControl w:val="off"/>
      <w:spacing w:before="100" w:after="100"/>
    </w:pPr>
    <w:rPr>
      <w:sz w:val="24"/>
    </w:rPr>
  </w:style>
  <w:style w:type="character" w:styleId="Style_11_ch">
    <w:name w:val="Normal_0"/>
    <w:link w:val="Style_11"/>
    <w:rPr>
      <w:sz w:val="24"/>
    </w:rPr>
  </w:style>
  <w:style w:type="paragraph" w:styleId="Style_2">
    <w:name w:val="header"/>
    <w:basedOn w:val="Style_4"/>
    <w:link w:val="Style_2_ch"/>
    <w:pPr>
      <w:widowControl w:val="off"/>
      <w:tabs>
        <w:tab w:val="center" w:pos="4153" w:leader="none"/>
        <w:tab w:val="right" w:pos="8306" w:leader="none"/>
      </w:tabs>
    </w:pPr>
  </w:style>
  <w:style w:type="character" w:styleId="Style_2_ch">
    <w:name w:val="header"/>
    <w:basedOn w:val="Style_4_ch"/>
    <w:link w:val="Style_2"/>
  </w:style>
  <w:style w:type="paragraph" w:styleId="Style_12">
    <w:name w:val="toc 3"/>
    <w:next w:val="Style_4"/>
    <w:link w:val="Style_12_ch"/>
    <w:uiPriority w:val="39"/>
    <w:pPr>
      <w:widowControl w:val="off"/>
      <w:ind w:left="400" w:firstLine="0"/>
      <w:jc w:val="left"/>
    </w:pPr>
    <w:rPr>
      <w:rFonts w:ascii="XO Thames" w:hAnsi="XO Thames"/>
      <w:sz w:val="28"/>
    </w:rPr>
  </w:style>
  <w:style w:type="character" w:styleId="Style_12_ch">
    <w:name w:val="toc 3"/>
    <w:link w:val="Style_12"/>
    <w:rPr>
      <w:rFonts w:ascii="XO Thames" w:hAnsi="XO Thames"/>
      <w:sz w:val="28"/>
    </w:rPr>
  </w:style>
  <w:style w:type="paragraph" w:styleId="Style_13">
    <w:name w:val="footer"/>
    <w:basedOn w:val="Style_4"/>
    <w:link w:val="Style_13_ch"/>
    <w:pPr>
      <w:widowControl w:val="off"/>
      <w:tabs>
        <w:tab w:val="center" w:pos="4153" w:leader="none"/>
        <w:tab w:val="right" w:pos="8306" w:leader="none"/>
      </w:tabs>
    </w:pPr>
  </w:style>
  <w:style w:type="character" w:styleId="Style_13_ch">
    <w:name w:val="footer"/>
    <w:basedOn w:val="Style_4_ch"/>
    <w:link w:val="Style_13"/>
  </w:style>
  <w:style w:type="paragraph" w:styleId="Style_14">
    <w:name w:val="heading 5"/>
    <w:next w:val="Style_4"/>
    <w:link w:val="Style_14_ch"/>
    <w:uiPriority w:val="9"/>
    <w:qFormat/>
    <w:pPr>
      <w:widowControl w:val="off"/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styleId="Style_14_ch">
    <w:name w:val="heading 5"/>
    <w:link w:val="Style_14"/>
    <w:rPr>
      <w:rFonts w:ascii="XO Thames" w:hAnsi="XO Thames"/>
      <w:b/>
      <w:sz w:val="22"/>
    </w:rPr>
  </w:style>
  <w:style w:type="paragraph" w:styleId="Style_15">
    <w:name w:val="Balloon Text"/>
    <w:basedOn w:val="Style_4"/>
    <w:link w:val="Style_15_ch"/>
    <w:rPr>
      <w:rFonts w:ascii="Tahoma" w:hAnsi="Tahoma"/>
      <w:sz w:val="16"/>
    </w:rPr>
  </w:style>
  <w:style w:type="character" w:styleId="Style_15_ch">
    <w:name w:val="Balloon Text"/>
    <w:basedOn w:val="Style_4_ch"/>
    <w:link w:val="Style_15"/>
    <w:rPr>
      <w:rFonts w:ascii="Tahoma" w:hAnsi="Tahoma"/>
      <w:sz w:val="16"/>
    </w:rPr>
  </w:style>
  <w:style w:type="paragraph" w:styleId="Style_16">
    <w:name w:val="heading 1"/>
    <w:basedOn w:val="Style_4"/>
    <w:next w:val="Style_4"/>
    <w:link w:val="Style_16_ch"/>
    <w:uiPriority w:val="9"/>
    <w:qFormat/>
    <w:pPr>
      <w:keepNext/>
      <w:widowControl w:val="off"/>
      <w:outlineLvl w:val="0"/>
    </w:pPr>
    <w:rPr>
      <w:sz w:val="24"/>
    </w:rPr>
  </w:style>
  <w:style w:type="character" w:styleId="Style_16_ch">
    <w:name w:val="heading 1"/>
    <w:basedOn w:val="Style_4_ch"/>
    <w:link w:val="Style_16"/>
    <w:rPr>
      <w:sz w:val="24"/>
    </w:rPr>
  </w:style>
  <w:style w:type="paragraph" w:styleId="Style_17">
    <w:name w:val="Hyperlink"/>
    <w:link w:val="Style_17_ch"/>
    <w:rPr>
      <w:color w:val="0000ff"/>
      <w:u w:val="single"/>
    </w:rPr>
  </w:style>
  <w:style w:type="character" w:styleId="Style_17_ch">
    <w:name w:val="Hyperlink"/>
    <w:link w:val="Style_17"/>
    <w:rPr>
      <w:color w:val="0000ff"/>
      <w:u w:val="single"/>
    </w:rPr>
  </w:style>
  <w:style w:type="paragraph" w:styleId="Style_18">
    <w:name w:val="Footnote"/>
    <w:link w:val="Style_18_ch"/>
    <w:pPr>
      <w:widowControl w:val="off"/>
      <w:ind w:left="0" w:firstLine="851"/>
      <w:jc w:val="both"/>
    </w:pPr>
    <w:rPr>
      <w:rFonts w:ascii="XO Thames" w:hAnsi="XO Thames"/>
      <w:sz w:val="22"/>
    </w:rPr>
  </w:style>
  <w:style w:type="character" w:styleId="Style_18_ch">
    <w:name w:val="Footnote"/>
    <w:link w:val="Style_18"/>
    <w:rPr>
      <w:rFonts w:ascii="XO Thames" w:hAnsi="XO Thames"/>
      <w:sz w:val="22"/>
    </w:rPr>
  </w:style>
  <w:style w:type="paragraph" w:styleId="Style_19">
    <w:name w:val="toc 1"/>
    <w:next w:val="Style_4"/>
    <w:link w:val="Style_19_ch"/>
    <w:uiPriority w:val="39"/>
    <w:pPr>
      <w:widowControl w:val="off"/>
      <w:ind w:left="0" w:firstLine="0"/>
      <w:jc w:val="left"/>
    </w:pPr>
    <w:rPr>
      <w:rFonts w:ascii="XO Thames" w:hAnsi="XO Thames"/>
      <w:b/>
      <w:sz w:val="28"/>
    </w:rPr>
  </w:style>
  <w:style w:type="character" w:styleId="Style_19_ch">
    <w:name w:val="toc 1"/>
    <w:link w:val="Style_19"/>
    <w:rPr>
      <w:rFonts w:ascii="XO Thames" w:hAnsi="XO Thames"/>
      <w:b/>
      <w:sz w:val="28"/>
    </w:rPr>
  </w:style>
  <w:style w:type="paragraph" w:styleId="Style_20">
    <w:name w:val="Header and Footer"/>
    <w:link w:val="Style_20_ch"/>
    <w:pPr>
      <w:widowControl w:val="off"/>
      <w:spacing w:line="240" w:lineRule="auto"/>
      <w:jc w:val="both"/>
    </w:pPr>
    <w:rPr>
      <w:rFonts w:ascii="XO Thames" w:hAnsi="XO Thames"/>
      <w:sz w:val="28"/>
    </w:rPr>
  </w:style>
  <w:style w:type="character" w:styleId="Style_20_ch">
    <w:name w:val="Header and Footer"/>
    <w:link w:val="Style_20"/>
    <w:rPr>
      <w:rFonts w:ascii="XO Thames" w:hAnsi="XO Thames"/>
      <w:sz w:val="28"/>
    </w:rPr>
  </w:style>
  <w:style w:type="paragraph" w:styleId="Style_21">
    <w:name w:val="toc 9"/>
    <w:next w:val="Style_4"/>
    <w:link w:val="Style_21_ch"/>
    <w:uiPriority w:val="39"/>
    <w:pPr>
      <w:widowControl w:val="off"/>
      <w:ind w:left="1600" w:firstLine="0"/>
      <w:jc w:val="left"/>
    </w:pPr>
    <w:rPr>
      <w:rFonts w:ascii="XO Thames" w:hAnsi="XO Thames"/>
      <w:sz w:val="28"/>
    </w:rPr>
  </w:style>
  <w:style w:type="character" w:styleId="Style_21_ch">
    <w:name w:val="toc 9"/>
    <w:link w:val="Style_21"/>
    <w:rPr>
      <w:rFonts w:ascii="XO Thames" w:hAnsi="XO Thames"/>
      <w:sz w:val="28"/>
    </w:rPr>
  </w:style>
  <w:style w:type="paragraph" w:styleId="Style_22">
    <w:name w:val="toc 8"/>
    <w:next w:val="Style_4"/>
    <w:link w:val="Style_22_ch"/>
    <w:uiPriority w:val="39"/>
    <w:pPr>
      <w:widowControl w:val="off"/>
      <w:ind w:left="1400" w:firstLine="0"/>
      <w:jc w:val="left"/>
    </w:pPr>
    <w:rPr>
      <w:rFonts w:ascii="XO Thames" w:hAnsi="XO Thames"/>
      <w:sz w:val="28"/>
    </w:rPr>
  </w:style>
  <w:style w:type="character" w:styleId="Style_22_ch">
    <w:name w:val="toc 8"/>
    <w:link w:val="Style_22"/>
    <w:rPr>
      <w:rFonts w:ascii="XO Thames" w:hAnsi="XO Thames"/>
      <w:sz w:val="28"/>
    </w:rPr>
  </w:style>
  <w:style w:type="paragraph" w:styleId="Style_23">
    <w:name w:val="toc 5"/>
    <w:next w:val="Style_4"/>
    <w:link w:val="Style_23_ch"/>
    <w:uiPriority w:val="39"/>
    <w:pPr>
      <w:widowControl w:val="off"/>
      <w:ind w:left="800" w:firstLine="0"/>
      <w:jc w:val="left"/>
    </w:pPr>
    <w:rPr>
      <w:rFonts w:ascii="XO Thames" w:hAnsi="XO Thames"/>
      <w:sz w:val="28"/>
    </w:rPr>
  </w:style>
  <w:style w:type="character" w:styleId="Style_23_ch">
    <w:name w:val="toc 5"/>
    <w:link w:val="Style_23"/>
    <w:rPr>
      <w:rFonts w:ascii="XO Thames" w:hAnsi="XO Thames"/>
      <w:sz w:val="28"/>
    </w:rPr>
  </w:style>
  <w:style w:type="paragraph" w:styleId="Style_24">
    <w:name w:val="Default Paragraph Font"/>
    <w:link w:val="Style_24_ch"/>
  </w:style>
  <w:style w:type="character" w:styleId="Style_24_ch">
    <w:name w:val="Default Paragraph Font"/>
    <w:link w:val="Style_24"/>
  </w:style>
  <w:style w:type="paragraph" w:styleId="Style_25">
    <w:name w:val="Subtitle"/>
    <w:next w:val="Style_4"/>
    <w:link w:val="Style_25_ch"/>
    <w:uiPriority w:val="11"/>
    <w:qFormat/>
    <w:pPr>
      <w:widowControl w:val="off"/>
      <w:jc w:val="both"/>
    </w:pPr>
    <w:rPr>
      <w:rFonts w:ascii="XO Thames" w:hAnsi="XO Thames"/>
      <w:i/>
      <w:sz w:val="24"/>
    </w:rPr>
  </w:style>
  <w:style w:type="character" w:styleId="Style_25_ch">
    <w:name w:val="Subtitle"/>
    <w:link w:val="Style_25"/>
    <w:rPr>
      <w:rFonts w:ascii="XO Thames" w:hAnsi="XO Thames"/>
      <w:i/>
      <w:sz w:val="24"/>
    </w:rPr>
  </w:style>
  <w:style w:type="paragraph" w:styleId="Style_26">
    <w:name w:val="Title"/>
    <w:next w:val="Style_4"/>
    <w:link w:val="Style_26_ch"/>
    <w:uiPriority w:val="10"/>
    <w:qFormat/>
    <w:pPr>
      <w:widowControl w:val="off"/>
      <w:spacing w:before="567" w:after="567"/>
      <w:jc w:val="center"/>
    </w:pPr>
    <w:rPr>
      <w:rFonts w:ascii="XO Thames" w:hAnsi="XO Thames"/>
      <w:b/>
      <w:caps/>
      <w:sz w:val="40"/>
    </w:rPr>
  </w:style>
  <w:style w:type="character" w:styleId="Style_26_ch">
    <w:name w:val="Title"/>
    <w:link w:val="Style_26"/>
    <w:rPr>
      <w:rFonts w:ascii="XO Thames" w:hAnsi="XO Thames"/>
      <w:b/>
      <w:caps/>
      <w:sz w:val="40"/>
    </w:rPr>
  </w:style>
  <w:style w:type="paragraph" w:styleId="Style_27">
    <w:name w:val="heading 4"/>
    <w:next w:val="Style_4"/>
    <w:link w:val="Style_27_ch"/>
    <w:uiPriority w:val="9"/>
    <w:qFormat/>
    <w:pPr>
      <w:widowControl w:val="off"/>
      <w:spacing w:before="120" w:after="120"/>
      <w:jc w:val="both"/>
      <w:outlineLvl w:val="3"/>
    </w:pPr>
    <w:rPr>
      <w:rFonts w:ascii="XO Thames" w:hAnsi="XO Thames"/>
      <w:b/>
      <w:sz w:val="24"/>
    </w:rPr>
  </w:style>
  <w:style w:type="character" w:styleId="Style_27_ch">
    <w:name w:val="heading 4"/>
    <w:link w:val="Style_27"/>
    <w:rPr>
      <w:rFonts w:ascii="XO Thames" w:hAnsi="XO Thames"/>
      <w:b/>
      <w:sz w:val="24"/>
    </w:rPr>
  </w:style>
  <w:style w:type="paragraph" w:styleId="Style_3">
    <w:name w:val="heading 2"/>
    <w:basedOn w:val="Style_4"/>
    <w:next w:val="Style_4"/>
    <w:link w:val="Style_3_ch"/>
    <w:uiPriority w:val="9"/>
    <w:qFormat/>
    <w:pPr>
      <w:keepNext/>
      <w:widowControl w:val="off"/>
      <w:jc w:val="center"/>
      <w:outlineLvl w:val="1"/>
    </w:pPr>
    <w:rPr>
      <w:rFonts w:ascii="Arial" w:hAnsi="Arial"/>
      <w:b/>
      <w:sz w:val="17"/>
    </w:rPr>
  </w:style>
  <w:style w:type="character" w:styleId="Style_3_ch">
    <w:name w:val="heading 2"/>
    <w:basedOn w:val="Style_4_ch"/>
    <w:link w:val="Style_3"/>
    <w:rPr>
      <w:rFonts w:ascii="Arial" w:hAnsi="Arial"/>
      <w:b/>
      <w:sz w:val="17"/>
    </w:rPr>
  </w:style>
  <w:style w:type="table" w:styleId="Style_1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oksana.sergeeva</cp:lastModifiedBy>
  <dcterms:created xsi:type="dcterms:W3CDTF">2025-09-11T11:24:29Z</dcterms:created>
  <dcterms:modified xsi:type="dcterms:W3CDTF">2026-07-21T05:37:31Z</dcterms:modified>
</cp:coreProperties>
</file>